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4356B2" w14:textId="43CB67D7" w:rsidR="007F174F" w:rsidRPr="000B49BB" w:rsidRDefault="007F174F" w:rsidP="0085010A">
      <w:pPr>
        <w:spacing w:after="0" w:line="240" w:lineRule="auto"/>
        <w:jc w:val="center"/>
        <w:rPr>
          <w:b/>
          <w:sz w:val="28"/>
          <w:szCs w:val="28"/>
        </w:rPr>
      </w:pPr>
      <w:r w:rsidRPr="000B49BB">
        <w:rPr>
          <w:b/>
          <w:sz w:val="28"/>
          <w:szCs w:val="28"/>
        </w:rPr>
        <w:t>“</w:t>
      </w:r>
      <w:r w:rsidR="00500430" w:rsidRPr="000B49BB">
        <w:rPr>
          <w:b/>
          <w:sz w:val="28"/>
          <w:szCs w:val="28"/>
        </w:rPr>
        <w:t>R</w:t>
      </w:r>
      <w:r w:rsidR="0016253A">
        <w:rPr>
          <w:b/>
          <w:sz w:val="28"/>
          <w:szCs w:val="28"/>
        </w:rPr>
        <w:t>EPEAL THE</w:t>
      </w:r>
      <w:r w:rsidRPr="000B49BB">
        <w:rPr>
          <w:b/>
          <w:sz w:val="28"/>
          <w:szCs w:val="28"/>
        </w:rPr>
        <w:t xml:space="preserve"> </w:t>
      </w:r>
      <w:r w:rsidR="002E00AA">
        <w:rPr>
          <w:b/>
          <w:sz w:val="28"/>
          <w:szCs w:val="28"/>
        </w:rPr>
        <w:t xml:space="preserve">GA </w:t>
      </w:r>
      <w:r w:rsidR="0016253A">
        <w:rPr>
          <w:b/>
          <w:sz w:val="28"/>
          <w:szCs w:val="28"/>
        </w:rPr>
        <w:t>BAN</w:t>
      </w:r>
      <w:r w:rsidRPr="000B49BB">
        <w:rPr>
          <w:b/>
          <w:sz w:val="28"/>
          <w:szCs w:val="28"/>
        </w:rPr>
        <w:t>”</w:t>
      </w:r>
    </w:p>
    <w:p w14:paraId="06DE13DC" w14:textId="19BC6BC3" w:rsidR="0085010A" w:rsidRDefault="007F174F" w:rsidP="0085010A">
      <w:pPr>
        <w:spacing w:after="0" w:line="240" w:lineRule="auto"/>
        <w:jc w:val="center"/>
        <w:rPr>
          <w:b/>
        </w:rPr>
      </w:pPr>
      <w:r>
        <w:rPr>
          <w:b/>
        </w:rPr>
        <w:t>General Assistance Ban for Indi</w:t>
      </w:r>
      <w:r w:rsidR="002E00AA">
        <w:rPr>
          <w:b/>
        </w:rPr>
        <w:t>viduals with Drug Distribution C</w:t>
      </w:r>
      <w:r>
        <w:rPr>
          <w:b/>
        </w:rPr>
        <w:t>onvictions</w:t>
      </w:r>
    </w:p>
    <w:p w14:paraId="48ACB6E3" w14:textId="77777777" w:rsidR="00C42691" w:rsidRDefault="00C42691" w:rsidP="00716D7D">
      <w:pPr>
        <w:spacing w:after="0" w:line="240" w:lineRule="auto"/>
        <w:rPr>
          <w:b/>
        </w:rPr>
      </w:pPr>
    </w:p>
    <w:p w14:paraId="63B672F8" w14:textId="79BF1727" w:rsidR="000E3B03" w:rsidRDefault="00D53794" w:rsidP="00D53794">
      <w:pPr>
        <w:spacing w:after="0" w:line="240" w:lineRule="auto"/>
      </w:pPr>
      <w:r>
        <w:rPr>
          <w:b/>
        </w:rPr>
        <w:t xml:space="preserve">What does the new law seek to do? </w:t>
      </w:r>
      <w:r w:rsidR="000E3B03">
        <w:t xml:space="preserve">It seeks to give </w:t>
      </w:r>
      <w:r w:rsidR="0016253A">
        <w:t xml:space="preserve">individuals who have </w:t>
      </w:r>
      <w:r w:rsidR="000E3B03">
        <w:t xml:space="preserve">paid their debt to society </w:t>
      </w:r>
      <w:r w:rsidR="0016253A">
        <w:t xml:space="preserve">the </w:t>
      </w:r>
      <w:r w:rsidR="0016253A" w:rsidRPr="00EB54FF">
        <w:t>opportunity</w:t>
      </w:r>
      <w:r w:rsidR="00EB54FF">
        <w:t xml:space="preserve"> for successful re-entry, </w:t>
      </w:r>
      <w:r w:rsidR="000E3B03">
        <w:t>by removing the lifetime ban on such individuals re</w:t>
      </w:r>
      <w:r w:rsidR="008E11C6">
        <w:t xml:space="preserve">ceiving General Assistance (GA) and establishing eligibility for Emergency Assistance (EA) benefits.  </w:t>
      </w:r>
      <w:r w:rsidR="000E3B03">
        <w:t xml:space="preserve">GA </w:t>
      </w:r>
      <w:r w:rsidR="008E11C6">
        <w:t xml:space="preserve">cash </w:t>
      </w:r>
      <w:r w:rsidR="000E3B03">
        <w:t xml:space="preserve">benefits are capped at $140 per month if an individual is considered employable; $210 per month for those unable </w:t>
      </w:r>
      <w:bookmarkStart w:id="0" w:name="_GoBack"/>
      <w:bookmarkEnd w:id="0"/>
      <w:r w:rsidR="000E3B03">
        <w:t>to work.</w:t>
      </w:r>
      <w:r w:rsidR="008E11C6">
        <w:t xml:space="preserve">  </w:t>
      </w:r>
    </w:p>
    <w:p w14:paraId="040D07BA" w14:textId="69658BD4" w:rsidR="00D53794" w:rsidRDefault="000E3B03" w:rsidP="00D53794">
      <w:pPr>
        <w:spacing w:after="0" w:line="240" w:lineRule="auto"/>
        <w:rPr>
          <w:b/>
        </w:rPr>
      </w:pPr>
      <w:r>
        <w:t xml:space="preserve"> </w:t>
      </w:r>
    </w:p>
    <w:p w14:paraId="4EE34D4A" w14:textId="5752BDE9" w:rsidR="00716D7D" w:rsidRPr="00D625A8" w:rsidRDefault="00A7028F" w:rsidP="00716D7D">
      <w:pPr>
        <w:spacing w:after="0" w:line="240" w:lineRule="auto"/>
        <w:rPr>
          <w:b/>
        </w:rPr>
      </w:pPr>
      <w:r w:rsidRPr="00655457">
        <w:rPr>
          <w:b/>
        </w:rPr>
        <w:t>What is the current law?</w:t>
      </w:r>
      <w:r w:rsidR="00381B0E">
        <w:rPr>
          <w:b/>
        </w:rPr>
        <w:t xml:space="preserve"> </w:t>
      </w:r>
      <w:r w:rsidR="0016253A">
        <w:t xml:space="preserve">New Jersey </w:t>
      </w:r>
      <w:r w:rsidR="00716D7D">
        <w:t>denies GA to single people without children if they have been convicted of any drug distribution offense.</w:t>
      </w:r>
      <w:r w:rsidR="00716D7D">
        <w:rPr>
          <w:rStyle w:val="FootnoteReference"/>
        </w:rPr>
        <w:footnoteReference w:id="1"/>
      </w:r>
      <w:r w:rsidR="00716D7D">
        <w:t xml:space="preserve"> </w:t>
      </w:r>
      <w:r w:rsidR="00C42691">
        <w:t xml:space="preserve">Enacted in </w:t>
      </w:r>
      <w:r w:rsidR="00716D7D">
        <w:t>January 1997</w:t>
      </w:r>
      <w:r w:rsidR="00C42691">
        <w:t xml:space="preserve"> as part of the now-discredited War on Drugs, </w:t>
      </w:r>
      <w:r w:rsidR="002E00AA">
        <w:t>t</w:t>
      </w:r>
      <w:r w:rsidR="0085010A">
        <w:t>he ban</w:t>
      </w:r>
      <w:r w:rsidR="00716D7D">
        <w:t xml:space="preserve"> applies to </w:t>
      </w:r>
      <w:r w:rsidR="00716D7D" w:rsidRPr="00AE1DF5">
        <w:rPr>
          <w:i/>
        </w:rPr>
        <w:t>any</w:t>
      </w:r>
      <w:r w:rsidR="00C42691">
        <w:t xml:space="preserve"> amount </w:t>
      </w:r>
      <w:r w:rsidR="00716D7D">
        <w:t xml:space="preserve">and no matter how </w:t>
      </w:r>
      <w:r w:rsidR="00716D7D" w:rsidRPr="00AE1DF5">
        <w:rPr>
          <w:i/>
        </w:rPr>
        <w:t>long</w:t>
      </w:r>
      <w:r w:rsidR="00716D7D">
        <w:t xml:space="preserve"> ago or what efforts the individual </w:t>
      </w:r>
      <w:r w:rsidR="00534265">
        <w:t>has made to rehabilitate</w:t>
      </w:r>
      <w:r w:rsidR="00716D7D">
        <w:t xml:space="preserve"> themselves.</w:t>
      </w:r>
    </w:p>
    <w:p w14:paraId="0118E275" w14:textId="37BD5716" w:rsidR="00716D7D" w:rsidRDefault="00716D7D" w:rsidP="00716D7D">
      <w:pPr>
        <w:spacing w:after="0" w:line="240" w:lineRule="auto"/>
        <w:ind w:firstLine="720"/>
        <w:rPr>
          <w:iCs/>
        </w:rPr>
      </w:pPr>
    </w:p>
    <w:p w14:paraId="6D648191" w14:textId="54CD6E01" w:rsidR="0016253A" w:rsidRPr="00D53794" w:rsidRDefault="00D53794" w:rsidP="00D53794">
      <w:pPr>
        <w:spacing w:after="0" w:line="240" w:lineRule="auto"/>
        <w:rPr>
          <w:b/>
        </w:rPr>
      </w:pPr>
      <w:r>
        <w:rPr>
          <w:b/>
        </w:rPr>
        <w:t xml:space="preserve">What are the reasons for repealing the ban? </w:t>
      </w:r>
      <w:r>
        <w:t>The ban should be repealed for economic efficiency</w:t>
      </w:r>
      <w:r w:rsidR="000E3B03">
        <w:t xml:space="preserve">, </w:t>
      </w:r>
      <w:r>
        <w:t>humanitarian</w:t>
      </w:r>
      <w:r w:rsidR="000E3B03">
        <w:t>, and moral</w:t>
      </w:r>
      <w:r>
        <w:t xml:space="preserve"> reasons.  Repealing the ban would: </w:t>
      </w:r>
      <w:r w:rsidR="0016253A">
        <w:tab/>
      </w:r>
    </w:p>
    <w:p w14:paraId="56E35842" w14:textId="0274C777" w:rsidR="0016253A" w:rsidRDefault="0016253A" w:rsidP="00D53794">
      <w:pPr>
        <w:pStyle w:val="ListParagraph"/>
        <w:numPr>
          <w:ilvl w:val="0"/>
          <w:numId w:val="2"/>
        </w:numPr>
        <w:spacing w:after="0" w:line="240" w:lineRule="auto"/>
      </w:pPr>
      <w:r>
        <w:t xml:space="preserve">Save millions of dollars in incarceration and hospitalization costs for individuals who could be stably housed in the community with increased quality of life;  </w:t>
      </w:r>
    </w:p>
    <w:p w14:paraId="54E22365" w14:textId="0E18B343" w:rsidR="0016253A" w:rsidRDefault="0016253A" w:rsidP="00D53794">
      <w:pPr>
        <w:pStyle w:val="ListParagraph"/>
        <w:numPr>
          <w:ilvl w:val="0"/>
          <w:numId w:val="2"/>
        </w:numPr>
        <w:spacing w:after="0" w:line="240" w:lineRule="auto"/>
      </w:pPr>
      <w:r>
        <w:t xml:space="preserve">Significantly reduce homelessness; </w:t>
      </w:r>
    </w:p>
    <w:p w14:paraId="10C822BA" w14:textId="77777777" w:rsidR="00D53794" w:rsidRDefault="00D53794" w:rsidP="00D53794">
      <w:pPr>
        <w:pStyle w:val="ListParagraph"/>
        <w:numPr>
          <w:ilvl w:val="0"/>
          <w:numId w:val="2"/>
        </w:numPr>
        <w:spacing w:after="0" w:line="240" w:lineRule="auto"/>
      </w:pPr>
      <w:r>
        <w:t>Strengthen the social safety net by providing funding to homeless service providers</w:t>
      </w:r>
    </w:p>
    <w:p w14:paraId="197B9076" w14:textId="77777777" w:rsidR="00D53794" w:rsidRDefault="00D53794" w:rsidP="00D53794">
      <w:pPr>
        <w:pStyle w:val="ListParagraph"/>
        <w:numPr>
          <w:ilvl w:val="0"/>
          <w:numId w:val="2"/>
        </w:numPr>
        <w:spacing w:after="0" w:line="240" w:lineRule="auto"/>
      </w:pPr>
      <w:r>
        <w:t>Link persons with mental health and substance abuse issues with appropriate services</w:t>
      </w:r>
    </w:p>
    <w:p w14:paraId="4D95379B" w14:textId="2414BF5B" w:rsidR="00D53794" w:rsidRPr="00D53794" w:rsidRDefault="00D53794" w:rsidP="00D53794">
      <w:pPr>
        <w:pStyle w:val="ListParagraph"/>
        <w:numPr>
          <w:ilvl w:val="0"/>
          <w:numId w:val="2"/>
        </w:numPr>
        <w:spacing w:after="0" w:line="240" w:lineRule="auto"/>
      </w:pPr>
      <w:r>
        <w:t>Provide a second chance to people who suffered from addiction</w:t>
      </w:r>
    </w:p>
    <w:p w14:paraId="5647A25A" w14:textId="77777777" w:rsidR="00D53794" w:rsidRDefault="00D53794" w:rsidP="00716D7D">
      <w:pPr>
        <w:spacing w:after="0" w:line="240" w:lineRule="auto"/>
        <w:ind w:firstLine="720"/>
        <w:rPr>
          <w:iCs/>
        </w:rPr>
      </w:pPr>
    </w:p>
    <w:p w14:paraId="4C4A84BC" w14:textId="15BA1079" w:rsidR="00716D7D" w:rsidRPr="00381B0E" w:rsidRDefault="00716D7D" w:rsidP="00716D7D">
      <w:pPr>
        <w:spacing w:after="0" w:line="240" w:lineRule="auto"/>
        <w:rPr>
          <w:b/>
        </w:rPr>
      </w:pPr>
      <w:r>
        <w:rPr>
          <w:b/>
        </w:rPr>
        <w:t xml:space="preserve">How does this ban contribute to </w:t>
      </w:r>
      <w:r w:rsidR="0085010A">
        <w:rPr>
          <w:b/>
        </w:rPr>
        <w:t xml:space="preserve">poverty and </w:t>
      </w:r>
      <w:r>
        <w:rPr>
          <w:b/>
        </w:rPr>
        <w:t>homelessness?</w:t>
      </w:r>
      <w:r w:rsidR="00381B0E">
        <w:rPr>
          <w:b/>
        </w:rPr>
        <w:t xml:space="preserve"> </w:t>
      </w:r>
      <w:r w:rsidR="0085010A">
        <w:t>GA i</w:t>
      </w:r>
      <w:r w:rsidR="00097637">
        <w:t xml:space="preserve">s an essential part of the small </w:t>
      </w:r>
      <w:r w:rsidR="0085010A">
        <w:t xml:space="preserve">safety net </w:t>
      </w:r>
      <w:r w:rsidR="00EB54FF">
        <w:t>that keeps poor New Jersey citizens from becoming homeless.</w:t>
      </w:r>
      <w:r w:rsidR="002E00AA">
        <w:t xml:space="preserve"> </w:t>
      </w:r>
      <w:r w:rsidR="0085010A">
        <w:t xml:space="preserve"> Eligibility </w:t>
      </w:r>
      <w:r>
        <w:t xml:space="preserve">for GA also </w:t>
      </w:r>
      <w:r w:rsidR="0085010A">
        <w:t xml:space="preserve">determines </w:t>
      </w:r>
      <w:r>
        <w:t>eligi</w:t>
      </w:r>
      <w:r w:rsidR="0085010A">
        <w:t xml:space="preserve">bility </w:t>
      </w:r>
      <w:r>
        <w:t>for Emergency Assi</w:t>
      </w:r>
      <w:r w:rsidR="00841C12">
        <w:t xml:space="preserve">stance (EA), </w:t>
      </w:r>
      <w:r w:rsidR="00D625A8">
        <w:t xml:space="preserve">which can be used </w:t>
      </w:r>
      <w:r>
        <w:t>to pay for shelter stays a</w:t>
      </w:r>
      <w:r w:rsidR="00D625A8">
        <w:t xml:space="preserve">nd temporary rental assistance, </w:t>
      </w:r>
      <w:r w:rsidR="00841C12">
        <w:t xml:space="preserve">crucial supports </w:t>
      </w:r>
      <w:r w:rsidR="00D625A8">
        <w:t>in New Jersey where waiting lists for public hou</w:t>
      </w:r>
      <w:r w:rsidR="00841C12">
        <w:t>sing can be years long.</w:t>
      </w:r>
      <w:r w:rsidR="0085010A">
        <w:t xml:space="preserve"> </w:t>
      </w:r>
      <w:r w:rsidR="00841C12">
        <w:t>Indeed, s</w:t>
      </w:r>
      <w:r>
        <w:t xml:space="preserve">ome shelter providers cannot afford </w:t>
      </w:r>
      <w:r w:rsidR="00C42691">
        <w:t xml:space="preserve">to accept homeless individuals </w:t>
      </w:r>
      <w:r>
        <w:t xml:space="preserve">unless the individual is eligible for EA. </w:t>
      </w:r>
      <w:r w:rsidR="00381B0E">
        <w:t>Without GA/EA, many banned individuals migrate to tent cities, abandoned buildings, or become institutionalized in hospitals or correctional facilities</w:t>
      </w:r>
      <w:r w:rsidR="00841C12">
        <w:t xml:space="preserve">, trapped in a cycle that </w:t>
      </w:r>
      <w:r w:rsidR="00F42AC2">
        <w:t>they cannot escape and that drains tax dollars.</w:t>
      </w:r>
      <w:r w:rsidR="00841C12">
        <w:t xml:space="preserve"> </w:t>
      </w:r>
    </w:p>
    <w:p w14:paraId="61D2FC0B" w14:textId="77777777" w:rsidR="0085010A" w:rsidRDefault="0085010A" w:rsidP="00716D7D">
      <w:pPr>
        <w:spacing w:after="0" w:line="240" w:lineRule="auto"/>
      </w:pPr>
    </w:p>
    <w:p w14:paraId="2CA0CDEE" w14:textId="0026C532" w:rsidR="009B38EC" w:rsidRPr="00D53794" w:rsidRDefault="00EB54FF" w:rsidP="009B38EC">
      <w:pPr>
        <w:spacing w:after="0" w:line="240" w:lineRule="auto"/>
        <w:rPr>
          <w:rFonts w:cs="Times New Roman"/>
        </w:rPr>
      </w:pPr>
      <w:r>
        <w:rPr>
          <w:b/>
        </w:rPr>
        <w:t xml:space="preserve">Isn’t this ban a fair consequence for </w:t>
      </w:r>
      <w:r w:rsidR="003504AA">
        <w:rPr>
          <w:b/>
        </w:rPr>
        <w:t xml:space="preserve">people who have distributed drugs? </w:t>
      </w:r>
      <w:r>
        <w:t xml:space="preserve">No, </w:t>
      </w:r>
      <w:r w:rsidR="003504AA">
        <w:t>this ban continues to punish people after they have repaid their debt to society and stacks the deck against successful re-entry. T</w:t>
      </w:r>
      <w:r>
        <w:t xml:space="preserve">his is the only criminal act that has a lifetime ban: a person who commits other crimes such as manslaughter robbery, or sex offenses is allowed to receive GA after serving their sentence.  Also, </w:t>
      </w:r>
      <w:r>
        <w:rPr>
          <w:rFonts w:cs="Times New Roman"/>
        </w:rPr>
        <w:t>t</w:t>
      </w:r>
      <w:r w:rsidR="009B38EC" w:rsidRPr="00D53794">
        <w:rPr>
          <w:rFonts w:cs="Times New Roman"/>
        </w:rPr>
        <w:t>he law disqualifies people convicted of distributing less than one ounce of marijuana.</w:t>
      </w:r>
      <w:r w:rsidR="009B38EC" w:rsidRPr="00D53794">
        <w:rPr>
          <w:rFonts w:cs="Times New Roman"/>
          <w:vertAlign w:val="superscript"/>
        </w:rPr>
        <w:footnoteReference w:id="2"/>
      </w:r>
      <w:r w:rsidR="009B38EC" w:rsidRPr="00D53794">
        <w:rPr>
          <w:rFonts w:cs="Times New Roman"/>
        </w:rPr>
        <w:t xml:space="preserve">  Many poor people </w:t>
      </w:r>
      <w:r w:rsidR="009B38EC">
        <w:rPr>
          <w:rFonts w:cs="Times New Roman"/>
        </w:rPr>
        <w:t xml:space="preserve">have “plead up” to a distribution charge </w:t>
      </w:r>
      <w:r>
        <w:rPr>
          <w:rFonts w:cs="Times New Roman"/>
        </w:rPr>
        <w:t xml:space="preserve">solely </w:t>
      </w:r>
      <w:r w:rsidR="009B38EC">
        <w:rPr>
          <w:rFonts w:cs="Times New Roman"/>
        </w:rPr>
        <w:t xml:space="preserve">because they could not make bail </w:t>
      </w:r>
      <w:r w:rsidR="009B38EC" w:rsidRPr="00D53794">
        <w:rPr>
          <w:rFonts w:cs="Times New Roman"/>
        </w:rPr>
        <w:t xml:space="preserve">regardless of </w:t>
      </w:r>
      <w:r w:rsidR="009B38EC">
        <w:rPr>
          <w:rFonts w:cs="Times New Roman"/>
        </w:rPr>
        <w:t xml:space="preserve">what actually happened. </w:t>
      </w:r>
      <w:r>
        <w:rPr>
          <w:rFonts w:cs="Times New Roman"/>
        </w:rPr>
        <w:t xml:space="preserve"> </w:t>
      </w:r>
    </w:p>
    <w:p w14:paraId="3248C581" w14:textId="77777777" w:rsidR="00716D7D" w:rsidRDefault="00716D7D" w:rsidP="00716D7D">
      <w:pPr>
        <w:spacing w:after="0" w:line="240" w:lineRule="auto"/>
      </w:pPr>
    </w:p>
    <w:p w14:paraId="6E766D10" w14:textId="25655BE4" w:rsidR="000B49BB" w:rsidRDefault="00716D7D" w:rsidP="000B49BB">
      <w:pPr>
        <w:spacing w:after="0" w:line="240" w:lineRule="auto"/>
      </w:pPr>
      <w:r>
        <w:rPr>
          <w:b/>
        </w:rPr>
        <w:t>Does the drug distribution ban apply to other forms of assistance, such as SNAP or Medicaid?</w:t>
      </w:r>
      <w:r w:rsidR="0085010A">
        <w:rPr>
          <w:b/>
        </w:rPr>
        <w:t xml:space="preserve">  </w:t>
      </w:r>
      <w:r w:rsidR="0085010A">
        <w:t>No</w:t>
      </w:r>
      <w:r w:rsidR="007F174F">
        <w:t>.</w:t>
      </w:r>
      <w:r w:rsidR="005133D5">
        <w:t xml:space="preserve"> For SNAP, </w:t>
      </w:r>
      <w:r w:rsidR="008F6FFC">
        <w:t xml:space="preserve">in 2010 </w:t>
      </w:r>
      <w:r>
        <w:t xml:space="preserve">New Jersey opted out of the federal ban on food stamps for those with either drug possession or drug distribution convictions. </w:t>
      </w:r>
      <w:r w:rsidR="005133D5">
        <w:t>For Medicaid</w:t>
      </w:r>
      <w:r w:rsidR="00381B0E">
        <w:t xml:space="preserve">, </w:t>
      </w:r>
      <w:r w:rsidR="008F6FFC">
        <w:t xml:space="preserve">as of January 2014, </w:t>
      </w:r>
      <w:r w:rsidR="00381B0E">
        <w:t xml:space="preserve">individuals with any </w:t>
      </w:r>
      <w:r w:rsidR="000B49BB">
        <w:t>pas</w:t>
      </w:r>
      <w:r w:rsidR="008179AB">
        <w:t xml:space="preserve">t drug conviction are </w:t>
      </w:r>
      <w:r w:rsidR="000B49BB">
        <w:t xml:space="preserve">eligible under the </w:t>
      </w:r>
      <w:r w:rsidR="005133D5">
        <w:t>Affordable Care Act</w:t>
      </w:r>
      <w:r w:rsidR="000B49BB">
        <w:t>.</w:t>
      </w:r>
    </w:p>
    <w:p w14:paraId="30644612" w14:textId="77777777" w:rsidR="000B49BB" w:rsidRDefault="000B49BB" w:rsidP="000B49BB">
      <w:pPr>
        <w:spacing w:after="0" w:line="240" w:lineRule="auto"/>
      </w:pPr>
    </w:p>
    <w:p w14:paraId="40E28724" w14:textId="53943B00" w:rsidR="00841C12" w:rsidRDefault="00841C12" w:rsidP="00841C12">
      <w:pPr>
        <w:spacing w:after="0" w:line="240" w:lineRule="auto"/>
      </w:pPr>
      <w:r w:rsidRPr="008B1E3C">
        <w:rPr>
          <w:b/>
        </w:rPr>
        <w:t>How would repeal</w:t>
      </w:r>
      <w:r>
        <w:rPr>
          <w:b/>
        </w:rPr>
        <w:t xml:space="preserve">ing the ban save taxpayer money? </w:t>
      </w:r>
      <w:r w:rsidR="00962AF9">
        <w:t xml:space="preserve">A growing body of evidence has shown that it is more cost-effective to use taxpayer dollars to pay for public assistance and housing than for repeated hospital and jail stays. </w:t>
      </w:r>
      <w:r>
        <w:t>Repealing the ban will save millions of dollars in incarceration</w:t>
      </w:r>
      <w:r w:rsidR="00600E29">
        <w:t xml:space="preserve"> (about $100/day)</w:t>
      </w:r>
      <w:r>
        <w:t xml:space="preserve"> and hospitalization</w:t>
      </w:r>
      <w:r w:rsidR="00600E29">
        <w:t xml:space="preserve"> (about $2,000/day)</w:t>
      </w:r>
      <w:r>
        <w:t xml:space="preserve"> costs for persons who could be </w:t>
      </w:r>
      <w:r w:rsidR="00962AF9">
        <w:t xml:space="preserve">stably </w:t>
      </w:r>
      <w:r>
        <w:t>maintained in the community with increased quality of life, even though there will be an initial investmen</w:t>
      </w:r>
      <w:r w:rsidR="00600E29">
        <w:t>t of General Assistance dollars.</w:t>
      </w:r>
      <w:r>
        <w:t xml:space="preserve"> </w:t>
      </w:r>
      <w:r w:rsidR="00CB2B26">
        <w:t xml:space="preserve"> </w:t>
      </w:r>
    </w:p>
    <w:p w14:paraId="0F1FEBBC" w14:textId="263B43C2" w:rsidR="00D53794" w:rsidRPr="003504AA" w:rsidRDefault="00D53794" w:rsidP="003504AA">
      <w:pPr>
        <w:pStyle w:val="ListParagraph"/>
        <w:spacing w:after="0" w:line="240" w:lineRule="auto"/>
      </w:pPr>
    </w:p>
    <w:p w14:paraId="6AFCF1FF" w14:textId="41A22F1D" w:rsidR="00D53794" w:rsidRPr="003504AA" w:rsidRDefault="003504AA" w:rsidP="00CB2B26">
      <w:pPr>
        <w:spacing w:after="0" w:line="240" w:lineRule="auto"/>
        <w:rPr>
          <w:rFonts w:cs="Times New Roman"/>
          <w:b/>
        </w:rPr>
      </w:pPr>
      <w:r w:rsidRPr="003504AA">
        <w:rPr>
          <w:rFonts w:cs="Times New Roman"/>
          <w:b/>
        </w:rPr>
        <w:t>Isn’t requiring treatment for everyone</w:t>
      </w:r>
      <w:r w:rsidR="00D53794" w:rsidRPr="003504AA">
        <w:rPr>
          <w:rFonts w:cs="Times New Roman"/>
          <w:b/>
        </w:rPr>
        <w:t xml:space="preserve"> with a drug conviction the only way to ensure that people with substance dependency receive treatment</w:t>
      </w:r>
      <w:r>
        <w:rPr>
          <w:rFonts w:cs="Times New Roman"/>
          <w:b/>
        </w:rPr>
        <w:t>?</w:t>
      </w:r>
    </w:p>
    <w:p w14:paraId="04DCABCA" w14:textId="556FDBAB" w:rsidR="00D53794" w:rsidRDefault="003504AA" w:rsidP="00CB2B26">
      <w:pPr>
        <w:spacing w:after="0" w:line="240" w:lineRule="auto"/>
        <w:rPr>
          <w:rFonts w:cs="Times New Roman"/>
        </w:rPr>
      </w:pPr>
      <w:r>
        <w:rPr>
          <w:rFonts w:cs="Times New Roman"/>
        </w:rPr>
        <w:t>L</w:t>
      </w:r>
      <w:r w:rsidR="00D53794" w:rsidRPr="00D53794">
        <w:rPr>
          <w:rFonts w:cs="Times New Roman"/>
        </w:rPr>
        <w:t xml:space="preserve">ifting the drug conviction ban will </w:t>
      </w:r>
      <w:r w:rsidR="00D53794" w:rsidRPr="00D53794">
        <w:rPr>
          <w:rFonts w:cs="Times New Roman"/>
          <w:i/>
        </w:rPr>
        <w:t xml:space="preserve">not </w:t>
      </w:r>
      <w:r w:rsidR="00D53794" w:rsidRPr="00D53794">
        <w:rPr>
          <w:rFonts w:cs="Times New Roman"/>
        </w:rPr>
        <w:t>mean that people with substance dependency will be able to receive benefits without undergoing treatment.  Rather, Work First New Jersey will refer people with substance dependency to SAI, assess them for need of treatment, and require people with dependency to undergo substance abuse treatment in order to maintain eligibility.</w:t>
      </w:r>
    </w:p>
    <w:p w14:paraId="0036E183" w14:textId="4E7A757D" w:rsidR="00731DA3" w:rsidRDefault="00731DA3" w:rsidP="00CB2B26">
      <w:pPr>
        <w:spacing w:after="0" w:line="240" w:lineRule="auto"/>
        <w:rPr>
          <w:rFonts w:cs="Times New Roman"/>
        </w:rPr>
      </w:pPr>
    </w:p>
    <w:p w14:paraId="2B745858" w14:textId="424F8C64" w:rsidR="00DF3F77" w:rsidRDefault="00731DA3" w:rsidP="00DF3F77">
      <w:pPr>
        <w:spacing w:after="0" w:line="240" w:lineRule="auto"/>
      </w:pPr>
      <w:r>
        <w:rPr>
          <w:b/>
        </w:rPr>
        <w:t xml:space="preserve">Example of how the GA ban denies the opportunity for successful re-entry and leads to wasteful spending: </w:t>
      </w:r>
      <w:r w:rsidRPr="00731DA3">
        <w:t>G.F.</w:t>
      </w:r>
      <w:r w:rsidRPr="00D94E95">
        <w:t xml:space="preserve"> </w:t>
      </w:r>
      <w:r>
        <w:t>i</w:t>
      </w:r>
      <w:r w:rsidRPr="00D94E95">
        <w:t xml:space="preserve">s a 51 year old man </w:t>
      </w:r>
      <w:r w:rsidR="00DF3F77">
        <w:t xml:space="preserve">was </w:t>
      </w:r>
      <w:r w:rsidRPr="00D94E95">
        <w:t>homeless for over t</w:t>
      </w:r>
      <w:r>
        <w:t xml:space="preserve">wo years </w:t>
      </w:r>
      <w:r w:rsidRPr="00D94E95">
        <w:t>and</w:t>
      </w:r>
      <w:r>
        <w:t xml:space="preserve"> stay</w:t>
      </w:r>
      <w:r w:rsidR="00DF3F77">
        <w:t>ed</w:t>
      </w:r>
      <w:r>
        <w:t xml:space="preserve"> at a homeless shelter.  </w:t>
      </w:r>
      <w:r w:rsidRPr="00D94E95">
        <w:t>To the best of his recollection he had a distribution c</w:t>
      </w:r>
      <w:r w:rsidR="008E11C6">
        <w:t xml:space="preserve">onviction over a decade ago. </w:t>
      </w:r>
      <w:r>
        <w:t xml:space="preserve">Due to his </w:t>
      </w:r>
      <w:r w:rsidRPr="00D94E95">
        <w:t xml:space="preserve">very fragile </w:t>
      </w:r>
      <w:r>
        <w:t xml:space="preserve">medical </w:t>
      </w:r>
      <w:r w:rsidRPr="00D94E95">
        <w:t>co</w:t>
      </w:r>
      <w:r>
        <w:t xml:space="preserve">ndition, including diabetes and mental health problems, </w:t>
      </w:r>
      <w:r w:rsidR="00DF3F77">
        <w:t xml:space="preserve">G.F. </w:t>
      </w:r>
      <w:r w:rsidRPr="00D94E95">
        <w:t>had to be transport</w:t>
      </w:r>
      <w:r>
        <w:t>ed</w:t>
      </w:r>
      <w:r w:rsidRPr="00D94E95">
        <w:t xml:space="preserve"> by ambulance from the shelter to a local hospital on numerous occasions</w:t>
      </w:r>
      <w:r w:rsidR="00DF3F77">
        <w:t xml:space="preserve"> and eventually was moved to a nursing home.</w:t>
      </w:r>
      <w:r w:rsidRPr="00D94E95">
        <w:t xml:space="preserve">  </w:t>
      </w:r>
      <w:r w:rsidR="00DF3F77">
        <w:rPr>
          <w:b/>
        </w:rPr>
        <w:t xml:space="preserve">He was not able to secure housing </w:t>
      </w:r>
      <w:r w:rsidRPr="003905D2">
        <w:rPr>
          <w:b/>
        </w:rPr>
        <w:t xml:space="preserve">due to the fact that he </w:t>
      </w:r>
      <w:r w:rsidR="00DF3F77">
        <w:rPr>
          <w:b/>
        </w:rPr>
        <w:t>did</w:t>
      </w:r>
      <w:r>
        <w:rPr>
          <w:b/>
        </w:rPr>
        <w:t xml:space="preserve"> not receive GA.</w:t>
      </w:r>
      <w:r w:rsidRPr="00D94E95">
        <w:t xml:space="preserve">  If he had been granted G</w:t>
      </w:r>
      <w:r w:rsidR="00DF3F77">
        <w:t xml:space="preserve">A and </w:t>
      </w:r>
      <w:r w:rsidRPr="00D94E95">
        <w:t>Emergency As</w:t>
      </w:r>
      <w:r>
        <w:t xml:space="preserve">sistance it is likely he would </w:t>
      </w:r>
      <w:r w:rsidRPr="00D94E95">
        <w:t>have been able to secure housing</w:t>
      </w:r>
      <w:r>
        <w:t xml:space="preserve">, which would have </w:t>
      </w:r>
      <w:r w:rsidRPr="00D94E95">
        <w:t>been benefici</w:t>
      </w:r>
      <w:r>
        <w:t xml:space="preserve">al to his health and </w:t>
      </w:r>
      <w:r w:rsidRPr="00D94E95">
        <w:t xml:space="preserve">prevented his </w:t>
      </w:r>
      <w:r w:rsidR="00DF3F77">
        <w:t xml:space="preserve">costly emergency room visits </w:t>
      </w:r>
      <w:r w:rsidRPr="00D94E95">
        <w:t xml:space="preserve">and nursing home placement. </w:t>
      </w:r>
      <w:r>
        <w:t xml:space="preserve"> </w:t>
      </w:r>
    </w:p>
    <w:p w14:paraId="03E9C2D5" w14:textId="2248BA52" w:rsidR="00731DA3" w:rsidRPr="00D94E95" w:rsidRDefault="00A54F97" w:rsidP="00DF3F77">
      <w:pPr>
        <w:spacing w:after="0" w:line="240" w:lineRule="auto"/>
        <w:ind w:firstLine="720"/>
      </w:pPr>
      <w:r>
        <w:t xml:space="preserve">Now, </w:t>
      </w:r>
      <w:r w:rsidR="00DF3F77">
        <w:t xml:space="preserve">GF </w:t>
      </w:r>
      <w:r>
        <w:t xml:space="preserve">has been </w:t>
      </w:r>
      <w:r w:rsidR="00DF3F77">
        <w:t xml:space="preserve">granted SSI benefits and placed into housing.  If he </w:t>
      </w:r>
      <w:r w:rsidR="00731DA3" w:rsidRPr="00D94E95">
        <w:t>had been granted GA/EA benefits</w:t>
      </w:r>
      <w:r w:rsidR="00DF3F77">
        <w:t xml:space="preserve">, </w:t>
      </w:r>
      <w:r w:rsidR="00731DA3" w:rsidRPr="00D94E95">
        <w:t>the State would</w:t>
      </w:r>
      <w:r w:rsidR="00731DA3">
        <w:t xml:space="preserve"> have been reimbursed the bulk </w:t>
      </w:r>
      <w:r w:rsidR="00731DA3" w:rsidRPr="00D94E95">
        <w:t>of these ben</w:t>
      </w:r>
      <w:r w:rsidR="00731DA3">
        <w:t>efits from his retroactive SSI award</w:t>
      </w:r>
      <w:r w:rsidR="00731DA3" w:rsidRPr="00D94E95">
        <w:t xml:space="preserve">.  </w:t>
      </w:r>
    </w:p>
    <w:p w14:paraId="4C88B017" w14:textId="3460F296" w:rsidR="00AD69DE" w:rsidRDefault="00AD69DE" w:rsidP="00CB2B26">
      <w:pPr>
        <w:spacing w:after="0" w:line="240" w:lineRule="auto"/>
        <w:rPr>
          <w:rFonts w:cs="Times New Roman"/>
        </w:rPr>
      </w:pPr>
    </w:p>
    <w:p w14:paraId="04EDC69E" w14:textId="0B981AE1" w:rsidR="007F174F" w:rsidRPr="00D53794" w:rsidRDefault="007F174F" w:rsidP="00CB2B26">
      <w:pPr>
        <w:spacing w:after="0" w:line="240" w:lineRule="auto"/>
        <w:jc w:val="center"/>
        <w:rPr>
          <w:rFonts w:cs="Times New Roman"/>
          <w:b/>
        </w:rPr>
      </w:pPr>
      <w:r w:rsidRPr="00D53794">
        <w:rPr>
          <w:rFonts w:cs="Times New Roman"/>
          <w:b/>
        </w:rPr>
        <w:t xml:space="preserve">ORGANIZATIONS SUPPORTING REPEAL THE BAN </w:t>
      </w:r>
    </w:p>
    <w:p w14:paraId="4736E99A" w14:textId="64D339E2" w:rsidR="000E3B03" w:rsidRDefault="000E3B03" w:rsidP="00CB2B26">
      <w:pPr>
        <w:spacing w:after="0" w:line="240" w:lineRule="auto"/>
        <w:ind w:left="720"/>
        <w:rPr>
          <w:rFonts w:cs="Times New Roman"/>
        </w:rPr>
      </w:pPr>
      <w:r>
        <w:rPr>
          <w:rFonts w:cs="Times New Roman"/>
        </w:rPr>
        <w:t>The Affordable Homes Group</w:t>
      </w:r>
    </w:p>
    <w:p w14:paraId="69AD3D72" w14:textId="1628F35E" w:rsidR="003F428A" w:rsidRPr="00D53794" w:rsidRDefault="003F428A" w:rsidP="00CB2B26">
      <w:pPr>
        <w:spacing w:after="0" w:line="240" w:lineRule="auto"/>
        <w:ind w:left="720"/>
        <w:rPr>
          <w:rFonts w:cs="Times New Roman"/>
        </w:rPr>
      </w:pPr>
      <w:r w:rsidRPr="00D53794">
        <w:rPr>
          <w:rFonts w:cs="Times New Roman"/>
        </w:rPr>
        <w:t>Anti-Poverty Network of New Jersey</w:t>
      </w:r>
    </w:p>
    <w:p w14:paraId="65B8DC0F" w14:textId="361B2285" w:rsidR="007F174F" w:rsidRPr="00D53794" w:rsidRDefault="007F174F" w:rsidP="00CB2B26">
      <w:pPr>
        <w:spacing w:after="0" w:line="240" w:lineRule="auto"/>
        <w:ind w:left="720"/>
        <w:rPr>
          <w:rFonts w:cs="Times New Roman"/>
        </w:rPr>
      </w:pPr>
      <w:r w:rsidRPr="00D53794">
        <w:rPr>
          <w:rFonts w:cs="Times New Roman"/>
        </w:rPr>
        <w:t>Asbury Park Reentry Coalition</w:t>
      </w:r>
    </w:p>
    <w:p w14:paraId="6AED1F55" w14:textId="25D7F811" w:rsidR="007F174F" w:rsidRPr="00D53794" w:rsidRDefault="007F174F" w:rsidP="00CB2B26">
      <w:pPr>
        <w:spacing w:after="0" w:line="240" w:lineRule="auto"/>
        <w:ind w:left="720"/>
        <w:rPr>
          <w:rFonts w:cs="Times New Roman"/>
        </w:rPr>
      </w:pPr>
      <w:r w:rsidRPr="00D53794">
        <w:rPr>
          <w:rFonts w:cs="Times New Roman"/>
        </w:rPr>
        <w:t>Catholic Charities, Diocese of Trenton</w:t>
      </w:r>
    </w:p>
    <w:p w14:paraId="4C4887F1" w14:textId="60B66699" w:rsidR="007F174F" w:rsidRPr="00D53794" w:rsidRDefault="003737C8" w:rsidP="00CB2B26">
      <w:pPr>
        <w:spacing w:after="0" w:line="240" w:lineRule="auto"/>
        <w:ind w:left="720"/>
        <w:rPr>
          <w:rFonts w:cs="Times New Roman"/>
        </w:rPr>
      </w:pPr>
      <w:r w:rsidRPr="00D53794">
        <w:rPr>
          <w:rFonts w:cs="Times New Roman"/>
        </w:rPr>
        <w:t xml:space="preserve">Community </w:t>
      </w:r>
      <w:proofErr w:type="spellStart"/>
      <w:r w:rsidRPr="00D53794">
        <w:rPr>
          <w:rFonts w:cs="Times New Roman"/>
        </w:rPr>
        <w:t>Food</w:t>
      </w:r>
      <w:r w:rsidR="007F174F" w:rsidRPr="00D53794">
        <w:rPr>
          <w:rFonts w:cs="Times New Roman"/>
        </w:rPr>
        <w:t>Bank</w:t>
      </w:r>
      <w:proofErr w:type="spellEnd"/>
      <w:r w:rsidRPr="00D53794">
        <w:rPr>
          <w:rFonts w:cs="Times New Roman"/>
        </w:rPr>
        <w:t xml:space="preserve"> of New Jersey</w:t>
      </w:r>
    </w:p>
    <w:p w14:paraId="6B605131" w14:textId="77777777" w:rsidR="00534265" w:rsidRPr="00D53794" w:rsidRDefault="00534265" w:rsidP="00CB2B26">
      <w:pPr>
        <w:spacing w:after="0" w:line="240" w:lineRule="auto"/>
        <w:ind w:left="720"/>
        <w:rPr>
          <w:rFonts w:cs="Times New Roman"/>
        </w:rPr>
      </w:pPr>
      <w:r w:rsidRPr="00D53794">
        <w:rPr>
          <w:rFonts w:cs="Times New Roman"/>
        </w:rPr>
        <w:t>Community Health Law Project</w:t>
      </w:r>
    </w:p>
    <w:p w14:paraId="6439EC13" w14:textId="1D2279C2" w:rsidR="000B49BB" w:rsidRPr="00D53794" w:rsidRDefault="000B49BB" w:rsidP="00CB2B26">
      <w:pPr>
        <w:spacing w:after="0" w:line="240" w:lineRule="auto"/>
        <w:ind w:left="720"/>
        <w:rPr>
          <w:rFonts w:cs="Times New Roman"/>
        </w:rPr>
      </w:pPr>
      <w:r w:rsidRPr="00D53794">
        <w:rPr>
          <w:rFonts w:cs="Times New Roman"/>
        </w:rPr>
        <w:t>Drug Policy Alliance</w:t>
      </w:r>
    </w:p>
    <w:p w14:paraId="49BDA193" w14:textId="6D344F36" w:rsidR="00841C12" w:rsidRPr="00D53794" w:rsidRDefault="00841C12" w:rsidP="00CB2B26">
      <w:pPr>
        <w:spacing w:after="0" w:line="240" w:lineRule="auto"/>
        <w:ind w:left="720"/>
        <w:rPr>
          <w:rFonts w:cs="Times New Roman"/>
        </w:rPr>
      </w:pPr>
      <w:r w:rsidRPr="00D53794">
        <w:rPr>
          <w:rFonts w:cs="Times New Roman"/>
        </w:rPr>
        <w:t>Garden State Equality</w:t>
      </w:r>
    </w:p>
    <w:p w14:paraId="42939EBE" w14:textId="675A0855" w:rsidR="00534265" w:rsidRPr="00D53794" w:rsidRDefault="00534265" w:rsidP="00CB2B26">
      <w:pPr>
        <w:spacing w:after="0" w:line="240" w:lineRule="auto"/>
        <w:ind w:left="720"/>
        <w:rPr>
          <w:rFonts w:cs="Times New Roman"/>
        </w:rPr>
      </w:pPr>
      <w:r w:rsidRPr="00D53794">
        <w:rPr>
          <w:rFonts w:cs="Times New Roman"/>
        </w:rPr>
        <w:t xml:space="preserve">Greater Trenton </w:t>
      </w:r>
      <w:r w:rsidR="008F6FFC" w:rsidRPr="00D53794">
        <w:rPr>
          <w:rFonts w:cs="Times New Roman"/>
        </w:rPr>
        <w:t>Behavioral Health</w:t>
      </w:r>
      <w:r w:rsidRPr="00D53794">
        <w:rPr>
          <w:rFonts w:cs="Times New Roman"/>
        </w:rPr>
        <w:t>Care</w:t>
      </w:r>
    </w:p>
    <w:p w14:paraId="03FE8DEF" w14:textId="5797B043" w:rsidR="008F6FFC" w:rsidRPr="00D53794" w:rsidRDefault="008F6FFC" w:rsidP="00CB2B26">
      <w:pPr>
        <w:spacing w:after="0" w:line="240" w:lineRule="auto"/>
        <w:ind w:left="720"/>
        <w:rPr>
          <w:rFonts w:cs="Times New Roman"/>
        </w:rPr>
      </w:pPr>
      <w:proofErr w:type="spellStart"/>
      <w:r w:rsidRPr="00D53794">
        <w:rPr>
          <w:rFonts w:cs="Times New Roman"/>
        </w:rPr>
        <w:t>HomeFront</w:t>
      </w:r>
      <w:proofErr w:type="spellEnd"/>
    </w:p>
    <w:p w14:paraId="2D9ACE5C" w14:textId="3338C9C5" w:rsidR="007F174F" w:rsidRPr="00D53794" w:rsidRDefault="007F174F" w:rsidP="00CB2B26">
      <w:pPr>
        <w:spacing w:after="0" w:line="240" w:lineRule="auto"/>
        <w:ind w:left="720"/>
        <w:rPr>
          <w:rFonts w:cs="Times New Roman"/>
        </w:rPr>
      </w:pPr>
      <w:r w:rsidRPr="00D53794">
        <w:rPr>
          <w:rFonts w:cs="Times New Roman"/>
        </w:rPr>
        <w:t>Hyacinth AIDS Foundation</w:t>
      </w:r>
    </w:p>
    <w:p w14:paraId="2FD5BFC3" w14:textId="3C1A584F" w:rsidR="00EA56E7" w:rsidRPr="00D53794" w:rsidRDefault="00EA56E7" w:rsidP="00CB2B26">
      <w:pPr>
        <w:spacing w:after="0" w:line="240" w:lineRule="auto"/>
        <w:ind w:left="720"/>
        <w:rPr>
          <w:rFonts w:cs="Times New Roman"/>
        </w:rPr>
      </w:pPr>
      <w:r w:rsidRPr="00D53794">
        <w:rPr>
          <w:rFonts w:cs="Times New Roman"/>
        </w:rPr>
        <w:t>New Jersey Association of Mental Health and Addiction Agencies, Inc.</w:t>
      </w:r>
    </w:p>
    <w:p w14:paraId="0FA68E7C" w14:textId="6AC2EF70" w:rsidR="005B69BB" w:rsidRPr="00D53794" w:rsidRDefault="005B69BB" w:rsidP="00CB2B26">
      <w:pPr>
        <w:spacing w:after="0" w:line="240" w:lineRule="auto"/>
        <w:ind w:left="720"/>
        <w:rPr>
          <w:rFonts w:cs="Times New Roman"/>
        </w:rPr>
      </w:pPr>
      <w:r w:rsidRPr="00D53794">
        <w:rPr>
          <w:rFonts w:cs="Times New Roman"/>
        </w:rPr>
        <w:t>National Council on Alcoholism and Drug Dependence – NJ (NCADD-NJ)</w:t>
      </w:r>
    </w:p>
    <w:p w14:paraId="26EB7D75" w14:textId="24A1635C" w:rsidR="007F174F" w:rsidRPr="00D53794" w:rsidRDefault="007F174F" w:rsidP="00CB2B26">
      <w:pPr>
        <w:spacing w:after="0" w:line="240" w:lineRule="auto"/>
        <w:ind w:left="720"/>
        <w:rPr>
          <w:rFonts w:cs="Times New Roman"/>
        </w:rPr>
      </w:pPr>
      <w:r w:rsidRPr="00D53794">
        <w:rPr>
          <w:rFonts w:cs="Times New Roman"/>
        </w:rPr>
        <w:t>New Jersey Coalition to End Homelessness</w:t>
      </w:r>
    </w:p>
    <w:p w14:paraId="4F127420" w14:textId="5BEF0193" w:rsidR="007F174F" w:rsidRDefault="00E12D30" w:rsidP="00CB2B26">
      <w:pPr>
        <w:spacing w:after="0" w:line="240" w:lineRule="auto"/>
        <w:ind w:left="720"/>
        <w:rPr>
          <w:rFonts w:cs="Times New Roman"/>
        </w:rPr>
      </w:pPr>
      <w:r w:rsidRPr="00D53794">
        <w:rPr>
          <w:rFonts w:cs="Times New Roman"/>
        </w:rPr>
        <w:t>New Jersey Institute for Social Justice</w:t>
      </w:r>
    </w:p>
    <w:p w14:paraId="10F2ECA9" w14:textId="52171184" w:rsidR="00EB54FF" w:rsidRDefault="00EB54FF" w:rsidP="00CB2B26">
      <w:pPr>
        <w:spacing w:after="0" w:line="240" w:lineRule="auto"/>
        <w:ind w:left="720"/>
        <w:rPr>
          <w:rFonts w:cs="Times New Roman"/>
        </w:rPr>
      </w:pPr>
      <w:r>
        <w:rPr>
          <w:rFonts w:cs="Times New Roman"/>
        </w:rPr>
        <w:t>Rescue Mission of Trenton</w:t>
      </w:r>
    </w:p>
    <w:p w14:paraId="1660885E" w14:textId="68E94E84" w:rsidR="000E3B03" w:rsidRPr="00D53794" w:rsidRDefault="000E3B03" w:rsidP="00CB2B26">
      <w:pPr>
        <w:spacing w:after="0" w:line="240" w:lineRule="auto"/>
        <w:ind w:left="720"/>
        <w:rPr>
          <w:rFonts w:cs="Times New Roman"/>
        </w:rPr>
      </w:pPr>
      <w:r>
        <w:rPr>
          <w:rFonts w:cs="Times New Roman"/>
        </w:rPr>
        <w:t>Supportive Housing Association of New Jersey</w:t>
      </w:r>
    </w:p>
    <w:p w14:paraId="0ACFAE93" w14:textId="4CB356E5" w:rsidR="00841C12" w:rsidRPr="00D53794" w:rsidRDefault="002E00AA" w:rsidP="00CB2B26">
      <w:pPr>
        <w:spacing w:after="0" w:line="240" w:lineRule="auto"/>
        <w:ind w:left="720"/>
        <w:rPr>
          <w:rFonts w:cs="Times New Roman"/>
        </w:rPr>
      </w:pPr>
      <w:r w:rsidRPr="00D53794">
        <w:rPr>
          <w:rFonts w:cs="Times New Roman"/>
        </w:rPr>
        <w:t xml:space="preserve">Working Families </w:t>
      </w:r>
    </w:p>
    <w:sectPr w:rsidR="00841C12" w:rsidRPr="00D53794" w:rsidSect="008179AB">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793ED7" w14:textId="77777777" w:rsidR="0064642D" w:rsidRDefault="0064642D" w:rsidP="00716D7D">
      <w:pPr>
        <w:spacing w:after="0" w:line="240" w:lineRule="auto"/>
      </w:pPr>
      <w:r>
        <w:separator/>
      </w:r>
    </w:p>
  </w:endnote>
  <w:endnote w:type="continuationSeparator" w:id="0">
    <w:p w14:paraId="54C66AD7" w14:textId="77777777" w:rsidR="0064642D" w:rsidRDefault="0064642D" w:rsidP="00716D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oudyOlSt BT">
    <w:altName w:val="Frutiger LT Std 47 Light Cn"/>
    <w:charset w:val="00"/>
    <w:family w:val="roman"/>
    <w:pitch w:val="variable"/>
    <w:sig w:usb0="00000001" w:usb1="00000000" w:usb2="00000000" w:usb3="00000000" w:csb0="0000001B" w:csb1="00000000"/>
  </w:font>
  <w:font w:name="Frutiger LT Std 47 Light Cn">
    <w:altName w:val="Gill Sans MT Condensed"/>
    <w:panose1 w:val="00000000000000000000"/>
    <w:charset w:val="00"/>
    <w:family w:val="swiss"/>
    <w:notTrueType/>
    <w:pitch w:val="variable"/>
    <w:sig w:usb0="800000AF" w:usb1="4000204A"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1C5B2B" w14:textId="77777777" w:rsidR="0064642D" w:rsidRDefault="0064642D" w:rsidP="00716D7D">
      <w:pPr>
        <w:spacing w:after="0" w:line="240" w:lineRule="auto"/>
      </w:pPr>
      <w:r>
        <w:separator/>
      </w:r>
    </w:p>
  </w:footnote>
  <w:footnote w:type="continuationSeparator" w:id="0">
    <w:p w14:paraId="05534B94" w14:textId="77777777" w:rsidR="0064642D" w:rsidRDefault="0064642D" w:rsidP="00716D7D">
      <w:pPr>
        <w:spacing w:after="0" w:line="240" w:lineRule="auto"/>
      </w:pPr>
      <w:r>
        <w:continuationSeparator/>
      </w:r>
    </w:p>
  </w:footnote>
  <w:footnote w:id="1">
    <w:p w14:paraId="10D4F82D" w14:textId="77777777" w:rsidR="00716D7D" w:rsidRDefault="00716D7D" w:rsidP="00716D7D">
      <w:pPr>
        <w:pStyle w:val="FootnoteText"/>
      </w:pPr>
      <w:r>
        <w:rPr>
          <w:rStyle w:val="FootnoteReference"/>
        </w:rPr>
        <w:footnoteRef/>
      </w:r>
      <w:r>
        <w:t xml:space="preserve"> NJSA44:10-48(b)(7); NJAC10:90-18.6; NJ ADC 10:90-2.8</w:t>
      </w:r>
    </w:p>
  </w:footnote>
  <w:footnote w:id="2">
    <w:p w14:paraId="3008F210" w14:textId="77777777" w:rsidR="009B38EC" w:rsidRPr="00425E9C" w:rsidRDefault="009B38EC" w:rsidP="009B38EC">
      <w:pPr>
        <w:pStyle w:val="FootnoteText"/>
      </w:pPr>
      <w:r>
        <w:rPr>
          <w:rStyle w:val="FootnoteReference"/>
        </w:rPr>
        <w:footnoteRef/>
      </w:r>
      <w:r w:rsidRPr="00425E9C">
        <w:t xml:space="preserve"> </w:t>
      </w:r>
      <w:r w:rsidRPr="00425E9C">
        <w:rPr>
          <w:u w:val="single"/>
        </w:rPr>
        <w:t>N.J.S.A.</w:t>
      </w:r>
      <w:r w:rsidRPr="00425E9C">
        <w:t xml:space="preserve"> § 2C:35-5 (b</w:t>
      </w:r>
      <w:proofErr w:type="gramStart"/>
      <w:r w:rsidRPr="00425E9C">
        <w:t>)(</w:t>
      </w:r>
      <w:proofErr w:type="gramEnd"/>
      <w:r w:rsidRPr="00425E9C">
        <w:t>12).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554C25"/>
    <w:multiLevelType w:val="hybridMultilevel"/>
    <w:tmpl w:val="BCE4F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2E31DA"/>
    <w:multiLevelType w:val="hybridMultilevel"/>
    <w:tmpl w:val="AC468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28F"/>
    <w:rsid w:val="000124C1"/>
    <w:rsid w:val="00057262"/>
    <w:rsid w:val="00097637"/>
    <w:rsid w:val="000978B2"/>
    <w:rsid w:val="000B49BB"/>
    <w:rsid w:val="000C3603"/>
    <w:rsid w:val="000E3B03"/>
    <w:rsid w:val="0016253A"/>
    <w:rsid w:val="00191090"/>
    <w:rsid w:val="00227364"/>
    <w:rsid w:val="0028640B"/>
    <w:rsid w:val="002A0A73"/>
    <w:rsid w:val="002A4FDF"/>
    <w:rsid w:val="002C56C6"/>
    <w:rsid w:val="002D18F7"/>
    <w:rsid w:val="002E00AA"/>
    <w:rsid w:val="0031518E"/>
    <w:rsid w:val="0033194F"/>
    <w:rsid w:val="003504AA"/>
    <w:rsid w:val="003737C8"/>
    <w:rsid w:val="00381B0E"/>
    <w:rsid w:val="00383946"/>
    <w:rsid w:val="003A153F"/>
    <w:rsid w:val="003A5C56"/>
    <w:rsid w:val="003B1745"/>
    <w:rsid w:val="003F2774"/>
    <w:rsid w:val="003F428A"/>
    <w:rsid w:val="003F65C1"/>
    <w:rsid w:val="00410C45"/>
    <w:rsid w:val="004566BE"/>
    <w:rsid w:val="00493E1E"/>
    <w:rsid w:val="004B537B"/>
    <w:rsid w:val="004D49DB"/>
    <w:rsid w:val="004F1590"/>
    <w:rsid w:val="004F44E3"/>
    <w:rsid w:val="00500430"/>
    <w:rsid w:val="005077FC"/>
    <w:rsid w:val="005133D5"/>
    <w:rsid w:val="00534265"/>
    <w:rsid w:val="00545B6C"/>
    <w:rsid w:val="00565207"/>
    <w:rsid w:val="005B69BB"/>
    <w:rsid w:val="005C61E8"/>
    <w:rsid w:val="005F3DA0"/>
    <w:rsid w:val="00600E29"/>
    <w:rsid w:val="00611F60"/>
    <w:rsid w:val="0064642D"/>
    <w:rsid w:val="0064707D"/>
    <w:rsid w:val="00655457"/>
    <w:rsid w:val="00676255"/>
    <w:rsid w:val="00697D1E"/>
    <w:rsid w:val="006A5D3B"/>
    <w:rsid w:val="006D64FC"/>
    <w:rsid w:val="00716D7D"/>
    <w:rsid w:val="00722FDA"/>
    <w:rsid w:val="00731DA3"/>
    <w:rsid w:val="00732E18"/>
    <w:rsid w:val="0077482E"/>
    <w:rsid w:val="007D17D3"/>
    <w:rsid w:val="007D5FEE"/>
    <w:rsid w:val="007F174F"/>
    <w:rsid w:val="008179AB"/>
    <w:rsid w:val="00841C12"/>
    <w:rsid w:val="008479FB"/>
    <w:rsid w:val="0085010A"/>
    <w:rsid w:val="008574FE"/>
    <w:rsid w:val="0087159F"/>
    <w:rsid w:val="00877605"/>
    <w:rsid w:val="00887189"/>
    <w:rsid w:val="00891AA4"/>
    <w:rsid w:val="008B1E3C"/>
    <w:rsid w:val="008E11C6"/>
    <w:rsid w:val="008E4980"/>
    <w:rsid w:val="008F5369"/>
    <w:rsid w:val="008F6FFC"/>
    <w:rsid w:val="00962AF9"/>
    <w:rsid w:val="00976D4E"/>
    <w:rsid w:val="00981248"/>
    <w:rsid w:val="00994087"/>
    <w:rsid w:val="009A2010"/>
    <w:rsid w:val="009A42CB"/>
    <w:rsid w:val="009B38EC"/>
    <w:rsid w:val="009C7DD3"/>
    <w:rsid w:val="00A11298"/>
    <w:rsid w:val="00A54F97"/>
    <w:rsid w:val="00A622C9"/>
    <w:rsid w:val="00A7028F"/>
    <w:rsid w:val="00A82EF8"/>
    <w:rsid w:val="00AB1F6E"/>
    <w:rsid w:val="00AD3236"/>
    <w:rsid w:val="00AD69DE"/>
    <w:rsid w:val="00AE601E"/>
    <w:rsid w:val="00B32DC5"/>
    <w:rsid w:val="00B44BF8"/>
    <w:rsid w:val="00B50B92"/>
    <w:rsid w:val="00BD4968"/>
    <w:rsid w:val="00C360BF"/>
    <w:rsid w:val="00C42291"/>
    <w:rsid w:val="00C42691"/>
    <w:rsid w:val="00C6407E"/>
    <w:rsid w:val="00C94673"/>
    <w:rsid w:val="00CB2B26"/>
    <w:rsid w:val="00CC626A"/>
    <w:rsid w:val="00CD6BBC"/>
    <w:rsid w:val="00D36DFB"/>
    <w:rsid w:val="00D468B0"/>
    <w:rsid w:val="00D53794"/>
    <w:rsid w:val="00D625A8"/>
    <w:rsid w:val="00D918EB"/>
    <w:rsid w:val="00DC2553"/>
    <w:rsid w:val="00DF3F77"/>
    <w:rsid w:val="00E05429"/>
    <w:rsid w:val="00E12D30"/>
    <w:rsid w:val="00E224AF"/>
    <w:rsid w:val="00E80D7C"/>
    <w:rsid w:val="00E94332"/>
    <w:rsid w:val="00EA0D18"/>
    <w:rsid w:val="00EA56E7"/>
    <w:rsid w:val="00EB54FF"/>
    <w:rsid w:val="00ED1DF5"/>
    <w:rsid w:val="00ED5EE2"/>
    <w:rsid w:val="00F026A7"/>
    <w:rsid w:val="00F129E5"/>
    <w:rsid w:val="00F42AC2"/>
    <w:rsid w:val="00F51401"/>
    <w:rsid w:val="00F52AF2"/>
    <w:rsid w:val="00F773D6"/>
    <w:rsid w:val="00F821BA"/>
    <w:rsid w:val="00FE4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FB221"/>
  <w15:chartTrackingRefBased/>
  <w15:docId w15:val="{35482BCB-3505-417D-B1C9-4C322B379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4B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S1DBL">
    <w:name w:val="_LS1&quot;DBL"/>
    <w:basedOn w:val="Normal"/>
    <w:rsid w:val="00A11298"/>
    <w:pPr>
      <w:spacing w:after="0" w:line="480" w:lineRule="exact"/>
      <w:ind w:firstLine="1440"/>
    </w:pPr>
    <w:rPr>
      <w:rFonts w:eastAsia="Times New Roman" w:cs="Times New Roman"/>
    </w:rPr>
  </w:style>
  <w:style w:type="paragraph" w:customStyle="1" w:styleId="LS1SGL">
    <w:name w:val="_LS1&quot;SGL"/>
    <w:basedOn w:val="Normal"/>
    <w:rsid w:val="00A11298"/>
    <w:pPr>
      <w:spacing w:after="240" w:line="240" w:lineRule="auto"/>
      <w:ind w:firstLine="1440"/>
    </w:pPr>
    <w:rPr>
      <w:rFonts w:eastAsia="Times New Roman" w:cs="Times New Roman"/>
    </w:rPr>
  </w:style>
  <w:style w:type="paragraph" w:customStyle="1" w:styleId="LSBlockQuote">
    <w:name w:val="_LSBlockQuote"/>
    <w:basedOn w:val="Normal"/>
    <w:next w:val="Normal"/>
    <w:rsid w:val="00A11298"/>
    <w:pPr>
      <w:spacing w:after="0" w:line="240" w:lineRule="auto"/>
      <w:ind w:left="1440" w:right="1440"/>
    </w:pPr>
    <w:rPr>
      <w:rFonts w:eastAsia="Times New Roman" w:cs="Times New Roman"/>
    </w:rPr>
  </w:style>
  <w:style w:type="paragraph" w:styleId="BlockText">
    <w:name w:val="Block Text"/>
    <w:basedOn w:val="Normal"/>
    <w:rsid w:val="00A11298"/>
    <w:pPr>
      <w:spacing w:after="120" w:line="240" w:lineRule="auto"/>
      <w:ind w:left="1440" w:right="1440"/>
    </w:pPr>
    <w:rPr>
      <w:rFonts w:eastAsia="Times New Roman" w:cs="Times New Roman"/>
    </w:rPr>
  </w:style>
  <w:style w:type="paragraph" w:customStyle="1" w:styleId="LSBodyText">
    <w:name w:val="_LSBodyText"/>
    <w:basedOn w:val="BlockText"/>
    <w:rsid w:val="00A11298"/>
    <w:pPr>
      <w:spacing w:after="240"/>
      <w:ind w:left="0" w:right="0"/>
      <w:jc w:val="both"/>
    </w:pPr>
    <w:rPr>
      <w:szCs w:val="20"/>
    </w:rPr>
  </w:style>
  <w:style w:type="paragraph" w:customStyle="1" w:styleId="LSByLine">
    <w:name w:val="_LSByLine"/>
    <w:basedOn w:val="Normal"/>
    <w:rsid w:val="00A11298"/>
    <w:pPr>
      <w:spacing w:before="480" w:after="480" w:line="240" w:lineRule="auto"/>
      <w:ind w:left="4320"/>
      <w:jc w:val="right"/>
    </w:pPr>
    <w:rPr>
      <w:rFonts w:eastAsia="Times New Roman" w:cs="Times New Roman"/>
    </w:rPr>
  </w:style>
  <w:style w:type="paragraph" w:customStyle="1" w:styleId="LSLtrAddress">
    <w:name w:val="_LSLtrAddress"/>
    <w:basedOn w:val="Normal"/>
    <w:rsid w:val="00B44BF8"/>
    <w:pPr>
      <w:overflowPunct w:val="0"/>
      <w:autoSpaceDE w:val="0"/>
      <w:autoSpaceDN w:val="0"/>
      <w:adjustRightInd w:val="0"/>
      <w:spacing w:before="480" w:after="0" w:line="240" w:lineRule="auto"/>
      <w:ind w:firstLine="1296"/>
      <w:textAlignment w:val="baseline"/>
    </w:pPr>
    <w:rPr>
      <w:rFonts w:eastAsia="Times New Roman" w:cs="Times New Roman"/>
      <w:szCs w:val="20"/>
    </w:rPr>
  </w:style>
  <w:style w:type="paragraph" w:customStyle="1" w:styleId="LSLtrAuthor">
    <w:name w:val="_LSLtrAuthor"/>
    <w:basedOn w:val="Normal"/>
    <w:rsid w:val="00A11298"/>
    <w:pPr>
      <w:overflowPunct w:val="0"/>
      <w:autoSpaceDE w:val="0"/>
      <w:autoSpaceDN w:val="0"/>
      <w:adjustRightInd w:val="0"/>
      <w:spacing w:before="480" w:after="480" w:line="240" w:lineRule="auto"/>
      <w:ind w:firstLine="1296"/>
      <w:textAlignment w:val="baseline"/>
    </w:pPr>
    <w:rPr>
      <w:rFonts w:ascii="GoudyOlSt BT" w:eastAsia="Times New Roman" w:hAnsi="GoudyOlSt BT" w:cs="Times New Roman"/>
      <w:szCs w:val="20"/>
    </w:rPr>
  </w:style>
  <w:style w:type="paragraph" w:styleId="BodyText">
    <w:name w:val="Body Text"/>
    <w:basedOn w:val="Normal"/>
    <w:link w:val="BodyTextChar"/>
    <w:rsid w:val="00A11298"/>
    <w:pPr>
      <w:spacing w:after="120" w:line="240" w:lineRule="auto"/>
    </w:pPr>
    <w:rPr>
      <w:rFonts w:eastAsia="Times New Roman" w:cs="Times New Roman"/>
    </w:rPr>
  </w:style>
  <w:style w:type="character" w:customStyle="1" w:styleId="BodyTextChar">
    <w:name w:val="Body Text Char"/>
    <w:basedOn w:val="DefaultParagraphFont"/>
    <w:link w:val="BodyText"/>
    <w:rsid w:val="00A11298"/>
    <w:rPr>
      <w:rFonts w:ascii="Times New Roman" w:eastAsia="Times New Roman" w:hAnsi="Times New Roman" w:cs="Times New Roman"/>
      <w:sz w:val="24"/>
      <w:szCs w:val="24"/>
    </w:rPr>
  </w:style>
  <w:style w:type="paragraph" w:customStyle="1" w:styleId="LSLtr-Body">
    <w:name w:val="_LSLtr-Body"/>
    <w:basedOn w:val="BodyText"/>
    <w:rsid w:val="00B44BF8"/>
    <w:pPr>
      <w:overflowPunct w:val="0"/>
      <w:autoSpaceDE w:val="0"/>
      <w:autoSpaceDN w:val="0"/>
      <w:adjustRightInd w:val="0"/>
      <w:spacing w:before="480" w:after="240"/>
      <w:ind w:firstLine="1296"/>
      <w:jc w:val="both"/>
      <w:textAlignment w:val="baseline"/>
    </w:pPr>
    <w:rPr>
      <w:szCs w:val="20"/>
    </w:rPr>
  </w:style>
  <w:style w:type="paragraph" w:customStyle="1" w:styleId="LSLtr-cc">
    <w:name w:val="_LSLtr-cc"/>
    <w:basedOn w:val="LSLtr-Body"/>
    <w:rsid w:val="00A11298"/>
    <w:pPr>
      <w:spacing w:after="0"/>
      <w:ind w:left="720" w:hanging="720"/>
      <w:jc w:val="left"/>
    </w:pPr>
  </w:style>
  <w:style w:type="paragraph" w:customStyle="1" w:styleId="LSLtr-Closing">
    <w:name w:val="_LSLtr-Closing"/>
    <w:basedOn w:val="LSLtr-Body"/>
    <w:rsid w:val="00A11298"/>
    <w:pPr>
      <w:spacing w:after="720"/>
      <w:jc w:val="left"/>
    </w:pPr>
  </w:style>
  <w:style w:type="paragraph" w:customStyle="1" w:styleId="LSLtr-enc">
    <w:name w:val="_LSLtr-enc"/>
    <w:basedOn w:val="LSLtr-Body"/>
    <w:rsid w:val="00A11298"/>
    <w:pPr>
      <w:spacing w:after="0"/>
      <w:ind w:left="720" w:hanging="720"/>
    </w:pPr>
  </w:style>
  <w:style w:type="paragraph" w:customStyle="1" w:styleId="LSLtr-Initials">
    <w:name w:val="_LSLtr-Initials"/>
    <w:basedOn w:val="LSLtr-Body"/>
    <w:rsid w:val="00A11298"/>
  </w:style>
  <w:style w:type="paragraph" w:customStyle="1" w:styleId="LSLtr-RE">
    <w:name w:val="_LSLtr-RE"/>
    <w:basedOn w:val="LSLtr-Body"/>
    <w:rsid w:val="00A11298"/>
    <w:pPr>
      <w:spacing w:before="240"/>
      <w:ind w:left="720" w:hanging="720"/>
    </w:pPr>
    <w:rPr>
      <w:b/>
    </w:rPr>
  </w:style>
  <w:style w:type="paragraph" w:customStyle="1" w:styleId="LSLTRRE2">
    <w:name w:val="_LSLTRRE2"/>
    <w:basedOn w:val="LSLtr-RE"/>
    <w:rsid w:val="00A11298"/>
    <w:pPr>
      <w:spacing w:before="0" w:after="0"/>
      <w:ind w:firstLine="0"/>
      <w:jc w:val="left"/>
    </w:pPr>
  </w:style>
  <w:style w:type="paragraph" w:customStyle="1" w:styleId="LSLTR-sal">
    <w:name w:val="_LSLTR-sal"/>
    <w:basedOn w:val="Normal"/>
    <w:rsid w:val="00A11298"/>
    <w:pPr>
      <w:overflowPunct w:val="0"/>
      <w:autoSpaceDE w:val="0"/>
      <w:autoSpaceDN w:val="0"/>
      <w:adjustRightInd w:val="0"/>
      <w:spacing w:before="240" w:after="240" w:line="240" w:lineRule="auto"/>
      <w:jc w:val="both"/>
      <w:textAlignment w:val="baseline"/>
    </w:pPr>
    <w:rPr>
      <w:rFonts w:ascii="GoudyOlSt BT" w:eastAsia="Times New Roman" w:hAnsi="GoudyOlSt BT" w:cs="Times New Roman"/>
      <w:szCs w:val="20"/>
    </w:rPr>
  </w:style>
  <w:style w:type="paragraph" w:customStyle="1" w:styleId="LSLtr-VIA">
    <w:name w:val="_LSLtr-VIA"/>
    <w:basedOn w:val="LSLtr-Body"/>
    <w:rsid w:val="00A11298"/>
    <w:rPr>
      <w:b/>
      <w:caps/>
    </w:rPr>
  </w:style>
  <w:style w:type="paragraph" w:customStyle="1" w:styleId="LSTitle">
    <w:name w:val="_LSTitle"/>
    <w:basedOn w:val="Normal"/>
    <w:next w:val="Normal"/>
    <w:rsid w:val="00A11298"/>
    <w:pPr>
      <w:spacing w:after="0" w:line="240" w:lineRule="auto"/>
      <w:jc w:val="center"/>
    </w:pPr>
    <w:rPr>
      <w:rFonts w:eastAsia="Times New Roman" w:cs="Times New Roman"/>
      <w:b/>
      <w:u w:val="single"/>
    </w:rPr>
  </w:style>
  <w:style w:type="paragraph" w:customStyle="1" w:styleId="LSTitle2">
    <w:name w:val="_LSTitle2"/>
    <w:basedOn w:val="Normal"/>
    <w:next w:val="Normal"/>
    <w:rsid w:val="00A11298"/>
    <w:pPr>
      <w:spacing w:after="720" w:line="240" w:lineRule="auto"/>
      <w:jc w:val="center"/>
    </w:pPr>
    <w:rPr>
      <w:rFonts w:eastAsia="Times New Roman" w:cs="Times New Roman"/>
      <w:b/>
    </w:rPr>
  </w:style>
  <w:style w:type="paragraph" w:customStyle="1" w:styleId="LSTitleDbl">
    <w:name w:val="_LSTitleDbl"/>
    <w:basedOn w:val="LSTitle2"/>
    <w:rsid w:val="00A11298"/>
    <w:pPr>
      <w:spacing w:after="480"/>
    </w:pPr>
  </w:style>
  <w:style w:type="paragraph" w:customStyle="1" w:styleId="aftercc">
    <w:name w:val="aftercc"/>
    <w:basedOn w:val="Normal"/>
    <w:rsid w:val="00A11298"/>
    <w:pPr>
      <w:overflowPunct w:val="0"/>
      <w:autoSpaceDE w:val="0"/>
      <w:autoSpaceDN w:val="0"/>
      <w:adjustRightInd w:val="0"/>
      <w:spacing w:after="0" w:line="240" w:lineRule="auto"/>
      <w:ind w:left="720"/>
      <w:textAlignment w:val="baseline"/>
    </w:pPr>
    <w:rPr>
      <w:rFonts w:eastAsia="Times New Roman" w:cs="Times New Roman"/>
      <w:szCs w:val="20"/>
    </w:rPr>
  </w:style>
  <w:style w:type="paragraph" w:styleId="Footer">
    <w:name w:val="footer"/>
    <w:basedOn w:val="Normal"/>
    <w:link w:val="FooterChar"/>
    <w:rsid w:val="00A11298"/>
    <w:pPr>
      <w:tabs>
        <w:tab w:val="center" w:pos="4320"/>
        <w:tab w:val="right" w:pos="8640"/>
      </w:tabs>
      <w:overflowPunct w:val="0"/>
      <w:autoSpaceDE w:val="0"/>
      <w:autoSpaceDN w:val="0"/>
      <w:adjustRightInd w:val="0"/>
      <w:spacing w:after="0" w:line="240" w:lineRule="exact"/>
      <w:jc w:val="both"/>
      <w:textAlignment w:val="baseline"/>
    </w:pPr>
    <w:rPr>
      <w:rFonts w:ascii="GoudyOlSt BT" w:eastAsia="Times New Roman" w:hAnsi="GoudyOlSt BT" w:cs="Times New Roman"/>
      <w:szCs w:val="20"/>
    </w:rPr>
  </w:style>
  <w:style w:type="character" w:customStyle="1" w:styleId="FooterChar">
    <w:name w:val="Footer Char"/>
    <w:basedOn w:val="DefaultParagraphFont"/>
    <w:link w:val="Footer"/>
    <w:rsid w:val="00A11298"/>
    <w:rPr>
      <w:rFonts w:ascii="GoudyOlSt BT" w:eastAsia="Times New Roman" w:hAnsi="GoudyOlSt BT" w:cs="Times New Roman"/>
      <w:sz w:val="24"/>
      <w:szCs w:val="20"/>
    </w:rPr>
  </w:style>
  <w:style w:type="paragraph" w:styleId="Header">
    <w:name w:val="header"/>
    <w:basedOn w:val="Normal"/>
    <w:link w:val="HeaderChar"/>
    <w:rsid w:val="00A11298"/>
    <w:pPr>
      <w:tabs>
        <w:tab w:val="center" w:pos="4320"/>
        <w:tab w:val="right" w:pos="8640"/>
      </w:tabs>
      <w:spacing w:after="0" w:line="240" w:lineRule="auto"/>
    </w:pPr>
    <w:rPr>
      <w:rFonts w:eastAsia="Times New Roman" w:cs="Times New Roman"/>
    </w:rPr>
  </w:style>
  <w:style w:type="character" w:customStyle="1" w:styleId="HeaderChar">
    <w:name w:val="Header Char"/>
    <w:basedOn w:val="DefaultParagraphFont"/>
    <w:link w:val="Header"/>
    <w:rsid w:val="00A11298"/>
    <w:rPr>
      <w:rFonts w:ascii="Times New Roman" w:eastAsia="Times New Roman" w:hAnsi="Times New Roman" w:cs="Times New Roman"/>
      <w:sz w:val="24"/>
      <w:szCs w:val="24"/>
    </w:rPr>
  </w:style>
  <w:style w:type="paragraph" w:customStyle="1" w:styleId="LSAddFooter">
    <w:name w:val="LSAddFooter"/>
    <w:basedOn w:val="Footer"/>
    <w:rsid w:val="00A11298"/>
    <w:pPr>
      <w:overflowPunct/>
      <w:autoSpaceDE/>
      <w:autoSpaceDN/>
      <w:adjustRightInd/>
      <w:spacing w:line="240" w:lineRule="auto"/>
      <w:jc w:val="left"/>
      <w:textAlignment w:val="auto"/>
    </w:pPr>
    <w:rPr>
      <w:rFonts w:ascii="Frutiger LT Std 47 Light Cn" w:hAnsi="Frutiger LT Std 47 Light Cn"/>
      <w:b/>
      <w:bCs/>
      <w:spacing w:val="20"/>
      <w:sz w:val="16"/>
    </w:rPr>
  </w:style>
  <w:style w:type="character" w:customStyle="1" w:styleId="lsaddress">
    <w:name w:val="lsaddress"/>
    <w:rsid w:val="00A11298"/>
    <w:rPr>
      <w:rFonts w:ascii="Times New Roman" w:hAnsi="Times New Roman"/>
      <w:i/>
      <w:iCs/>
      <w:dstrike w:val="0"/>
      <w:sz w:val="16"/>
      <w:vertAlign w:val="baseline"/>
    </w:rPr>
  </w:style>
  <w:style w:type="paragraph" w:customStyle="1" w:styleId="rrr">
    <w:name w:val="rrr"/>
    <w:rsid w:val="00A11298"/>
    <w:pPr>
      <w:overflowPunct w:val="0"/>
      <w:autoSpaceDE w:val="0"/>
      <w:autoSpaceDN w:val="0"/>
      <w:adjustRightInd w:val="0"/>
      <w:spacing w:after="0" w:line="240" w:lineRule="auto"/>
      <w:textAlignment w:val="baseline"/>
    </w:pPr>
    <w:rPr>
      <w:rFonts w:eastAsia="Times New Roman" w:cs="Times New Roman"/>
      <w:szCs w:val="20"/>
    </w:rPr>
  </w:style>
  <w:style w:type="paragraph" w:styleId="FootnoteText">
    <w:name w:val="footnote text"/>
    <w:basedOn w:val="Normal"/>
    <w:link w:val="FootnoteTextChar"/>
    <w:uiPriority w:val="99"/>
    <w:semiHidden/>
    <w:unhideWhenUsed/>
    <w:rsid w:val="00716D7D"/>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uiPriority w:val="99"/>
    <w:semiHidden/>
    <w:rsid w:val="00716D7D"/>
    <w:rPr>
      <w:rFonts w:eastAsia="Times New Roman" w:cs="Times New Roman"/>
      <w:sz w:val="20"/>
      <w:szCs w:val="20"/>
    </w:rPr>
  </w:style>
  <w:style w:type="character" w:styleId="FootnoteReference">
    <w:name w:val="footnote reference"/>
    <w:basedOn w:val="DefaultParagraphFont"/>
    <w:uiPriority w:val="99"/>
    <w:unhideWhenUsed/>
    <w:rsid w:val="00716D7D"/>
    <w:rPr>
      <w:vertAlign w:val="superscript"/>
    </w:rPr>
  </w:style>
  <w:style w:type="paragraph" w:styleId="ListParagraph">
    <w:name w:val="List Paragraph"/>
    <w:basedOn w:val="Normal"/>
    <w:uiPriority w:val="34"/>
    <w:qFormat/>
    <w:rsid w:val="00655457"/>
    <w:pPr>
      <w:ind w:left="720"/>
      <w:contextualSpacing/>
    </w:pPr>
  </w:style>
  <w:style w:type="paragraph" w:styleId="BalloonText">
    <w:name w:val="Balloon Text"/>
    <w:basedOn w:val="Normal"/>
    <w:link w:val="BalloonTextChar"/>
    <w:uiPriority w:val="99"/>
    <w:semiHidden/>
    <w:unhideWhenUsed/>
    <w:rsid w:val="002864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640B"/>
    <w:rPr>
      <w:rFonts w:ascii="Segoe UI" w:hAnsi="Segoe UI" w:cs="Segoe UI"/>
      <w:sz w:val="18"/>
      <w:szCs w:val="18"/>
    </w:rPr>
  </w:style>
  <w:style w:type="character" w:styleId="Hyperlink">
    <w:name w:val="Hyperlink"/>
    <w:basedOn w:val="DefaultParagraphFont"/>
    <w:uiPriority w:val="99"/>
    <w:unhideWhenUsed/>
    <w:rsid w:val="005004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DD00DBE407B54D96301E155BA3B3C2" ma:contentTypeVersion="2" ma:contentTypeDescription="Create a new document." ma:contentTypeScope="" ma:versionID="7a1d2b0375e448acccce5e164ddae1bd">
  <xsd:schema xmlns:xsd="http://www.w3.org/2001/XMLSchema" xmlns:xs="http://www.w3.org/2001/XMLSchema" xmlns:p="http://schemas.microsoft.com/office/2006/metadata/properties" xmlns:ns2="32176395-e59f-4c5b-9d27-2cadbec4ccca" targetNamespace="http://schemas.microsoft.com/office/2006/metadata/properties" ma:root="true" ma:fieldsID="24b167f2cfc7e0fe7350c86726fa53e9" ns2:_="">
    <xsd:import namespace="32176395-e59f-4c5b-9d27-2cadbec4ccca"/>
    <xsd:element name="properties">
      <xsd:complexType>
        <xsd:sequence>
          <xsd:element name="documentManagement">
            <xsd:complexType>
              <xsd:all>
                <xsd:element ref="ns2:SharedWithUsers" minOccurs="0"/>
                <xsd:element ref="ns2: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176395-e59f-4c5b-9d27-2cadbec4ccc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7C5EAA-79A9-45E3-8B07-F544DFD04D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176395-e59f-4c5b-9d27-2cadbec4cc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D1F6BB-8402-4C55-944B-437F9EBB32B7}">
  <ds:schemaRefs>
    <ds:schemaRef ds:uri="http://schemas.microsoft.com/sharepoint/v3/contenttype/forms"/>
  </ds:schemaRefs>
</ds:datastoreItem>
</file>

<file path=customXml/itemProps3.xml><?xml version="1.0" encoding="utf-8"?>
<ds:datastoreItem xmlns:ds="http://schemas.openxmlformats.org/officeDocument/2006/customXml" ds:itemID="{F09DA187-0EE6-4AB0-8093-A679BD8B6EE5}">
  <ds:schemaRefs>
    <ds:schemaRef ds:uri="http://www.w3.org/XML/1998/namespace"/>
    <ds:schemaRef ds:uri="http://schemas.openxmlformats.org/package/2006/metadata/core-properties"/>
    <ds:schemaRef ds:uri="http://schemas.microsoft.com/office/infopath/2007/PartnerControls"/>
    <ds:schemaRef ds:uri="http://purl.org/dc/elements/1.1/"/>
    <ds:schemaRef ds:uri="http://purl.org/dc/terms/"/>
    <ds:schemaRef ds:uri="http://schemas.microsoft.com/office/2006/documentManagement/types"/>
    <ds:schemaRef ds:uri="http://purl.org/dc/dcmitype/"/>
    <ds:schemaRef ds:uri="32176395-e59f-4c5b-9d27-2cadbec4ccca"/>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884</Words>
  <Characters>5039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Deb</dc:creator>
  <cp:keywords/>
  <dc:description/>
  <cp:lastModifiedBy>Kate Leahy</cp:lastModifiedBy>
  <cp:revision>2</cp:revision>
  <cp:lastPrinted>2015-02-11T15:49:00Z</cp:lastPrinted>
  <dcterms:created xsi:type="dcterms:W3CDTF">2015-03-19T12:18:00Z</dcterms:created>
  <dcterms:modified xsi:type="dcterms:W3CDTF">2015-03-19T12:18:00Z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0x010100BFDD00DBE407B54D96301E155BA3B3C2</vt:lpwstr>
  </property>
</Properties>
</file>